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B44" w:rsidRPr="00A15B44" w:rsidRDefault="00A15B44" w:rsidP="00A15B4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Доклад Н.М. Казначеевой на заседании Коллегии </w:t>
      </w:r>
    </w:p>
    <w:p w:rsidR="00A15B44" w:rsidRPr="00A15B44" w:rsidRDefault="00A15B44" w:rsidP="00A15B4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Департамента культуры автономного округа </w:t>
      </w:r>
    </w:p>
    <w:p w:rsidR="00A15B44" w:rsidRPr="00A15B44" w:rsidRDefault="00A15B44" w:rsidP="00A15B4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27 марта 2014 года</w:t>
      </w:r>
    </w:p>
    <w:p w:rsidR="00A15B44" w:rsidRPr="00A15B44" w:rsidRDefault="00A15B44" w:rsidP="00A15B4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Слайд - титульный</w:t>
      </w:r>
    </w:p>
    <w:p w:rsidR="00A15B44" w:rsidRPr="00A15B44" w:rsidRDefault="00A15B44" w:rsidP="00A15B4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5B44" w:rsidRPr="00A15B44" w:rsidRDefault="00A15B44" w:rsidP="00A15B4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Реализация государственной культурной политики в</w:t>
      </w:r>
    </w:p>
    <w:p w:rsidR="00A15B44" w:rsidRPr="00A15B44" w:rsidRDefault="00A15B44" w:rsidP="00A15B4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Ханты-Мансийском автономном округе - Югре в 2013 году</w:t>
      </w:r>
    </w:p>
    <w:p w:rsidR="00A15B44" w:rsidRPr="00A15B44" w:rsidRDefault="00A15B44" w:rsidP="00A15B4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15B44" w:rsidRPr="00A15B44" w:rsidRDefault="00A15B44" w:rsidP="00A15B4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Уважаемые члены коллегии Департамента культуры автономного округа!</w:t>
      </w:r>
    </w:p>
    <w:p w:rsidR="00A15B44" w:rsidRPr="00A15B44" w:rsidRDefault="00A15B44" w:rsidP="00A15B4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Уважаемые руководители государственных учреждений культуры и члены Общественного совета при Департаменте культуры автономного округа!</w:t>
      </w:r>
    </w:p>
    <w:p w:rsidR="00A15B44" w:rsidRPr="00A15B44" w:rsidRDefault="00A15B44" w:rsidP="00A15B4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15B44" w:rsidRPr="00A15B44" w:rsidRDefault="00A15B44" w:rsidP="00A15B4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ab/>
        <w:t>Предлагаю Вашему вниманию доклад об основных результатах реализации государственной культурной политики вХанты-Мансийском автономном округе - Югре в 2013 году.</w:t>
      </w:r>
    </w:p>
    <w:p w:rsidR="00A15B44" w:rsidRPr="00A15B44" w:rsidRDefault="00A15B44" w:rsidP="00A15B44">
      <w:pPr>
        <w:shd w:val="clear" w:color="auto" w:fill="4BACC6" w:themeFill="accent5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>Слайд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итогам 2013 года Югра по анализу ситуации в экономике, финансовой и социальной сферах субъектов Российской Федерации, проведенному Министерством регионального развития Российской Федерации, по сводному индексу социально-экономического развития заняла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 место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среди субъектов Российской Федерации.</w:t>
      </w:r>
    </w:p>
    <w:p w:rsidR="00A15B44" w:rsidRPr="00A15B44" w:rsidRDefault="00A15B44" w:rsidP="00A15B44">
      <w:pPr>
        <w:shd w:val="clear" w:color="auto" w:fill="4BACC6" w:themeFill="accent5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>Слайд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Позитивная динамика развития реального сектора экономики позволила улучшить показатели уровня и качества жизни населения автономного округа. По естественному приросту на тысячу человек населения Югра занимает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шестую позицию в рейтинге субъектов Российской Федерации.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 автономном округе повышается уровень рождаемости, Югра среди субъектов Российской Федерации занимает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седьмое место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первое среди регионов Уральского федерального округа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числу родившихся на тысячу человек населения. На конец декабря 2013 года уровень зарегистрированной безработицы в 2,4 раза ниже, чем в стране.</w:t>
      </w:r>
    </w:p>
    <w:p w:rsidR="00A15B44" w:rsidRPr="00A15B44" w:rsidRDefault="00A15B44" w:rsidP="00A15B44">
      <w:pPr>
        <w:shd w:val="clear" w:color="auto" w:fill="4BACC6" w:themeFill="accent5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Слайд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hAnsi="Times New Roman" w:cs="Times New Roman"/>
          <w:sz w:val="26"/>
          <w:szCs w:val="26"/>
        </w:rPr>
        <w:t>В 2014 год автономный округ вступил в очередной этап социально-экономического развития с основным стратегическим документом  - Стратегия развития Ханты-Мансийского автономного округа – Югры до 2020 года и на период до 2030 года.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Стратегия развития автономного округа выстроена с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первоочередной ориентацией на повышение качества и уровня жизни населения.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Приоритетной стратегической задачей является развитие и качественная трансформация образования, здравоохранения,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культуры,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молодежной политики, услуг, транспортной, энергетической и коммунальной инфраструктуры, жилищно-коммунального хозяйства.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Впервые в столь значительном документе появился раздел «Культура»! Над этим разделом мы много трудились и отстаивали каждый абзац!</w:t>
      </w:r>
    </w:p>
    <w:p w:rsidR="00A15B44" w:rsidRPr="00A15B44" w:rsidRDefault="00A15B44" w:rsidP="00A15B44">
      <w:pPr>
        <w:shd w:val="clear" w:color="auto" w:fill="4BACC6" w:themeFill="accent5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Слайд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определении стратегических направлений деятельности Департамента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культуры автономного округа в 2013 году </w:t>
      </w:r>
      <w:r w:rsidRPr="00A15B44">
        <w:rPr>
          <w:rFonts w:ascii="Times New Roman" w:eastAsia="Times New Roman" w:hAnsi="Times New Roman" w:cs="Times New Roman"/>
          <w:sz w:val="26"/>
          <w:szCs w:val="26"/>
        </w:rPr>
        <w:t xml:space="preserve">стало решение вопросов, поставленных Президентом Российской Федерации в майских Указах 2012 года и ежегодном Послании Федеральному Собранию от 12 декабря 2012 года, </w:t>
      </w:r>
      <w:r w:rsidRPr="00A15B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 также иных нормативно-правовых и организационно-распорядительных документах Губернатора и Правительства автономного округа. </w:t>
      </w:r>
    </w:p>
    <w:p w:rsidR="00A15B44" w:rsidRPr="00A15B44" w:rsidRDefault="00A15B44" w:rsidP="00A15B44">
      <w:pPr>
        <w:pStyle w:val="western"/>
        <w:shd w:val="clear" w:color="auto" w:fill="4BACC6" w:themeFill="accent5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A15B44">
        <w:rPr>
          <w:color w:val="000000"/>
          <w:sz w:val="26"/>
          <w:szCs w:val="26"/>
        </w:rPr>
        <w:t>Слайд</w:t>
      </w:r>
    </w:p>
    <w:p w:rsidR="00A15B44" w:rsidRPr="00A15B44" w:rsidRDefault="00A15B44" w:rsidP="00A15B44">
      <w:pPr>
        <w:pStyle w:val="western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15B44">
        <w:rPr>
          <w:sz w:val="26"/>
          <w:szCs w:val="26"/>
        </w:rPr>
        <w:lastRenderedPageBreak/>
        <w:t xml:space="preserve">2013 год для культуры Югры стал годом развития, годом формирования </w:t>
      </w:r>
      <w:r w:rsidRPr="00A15B44">
        <w:rPr>
          <w:b/>
          <w:bCs/>
          <w:sz w:val="26"/>
          <w:szCs w:val="26"/>
        </w:rPr>
        <w:t>стратегий</w:t>
      </w:r>
      <w:r w:rsidRPr="00A15B44">
        <w:rPr>
          <w:sz w:val="26"/>
          <w:szCs w:val="26"/>
        </w:rPr>
        <w:t xml:space="preserve"> культурной политики, ориентированных на будущее.</w:t>
      </w:r>
    </w:p>
    <w:p w:rsidR="00A15B44" w:rsidRPr="00A15B44" w:rsidRDefault="00A15B44" w:rsidP="00A15B44">
      <w:pPr>
        <w:pStyle w:val="western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15B44">
        <w:rPr>
          <w:sz w:val="26"/>
          <w:szCs w:val="26"/>
        </w:rPr>
        <w:t>В 2013 году приняты активные меры по совершенствованию законодательства автономного округа в отрасли культуры, сформирована правовая и экономическая «платформа», на которой будет формироваться единая культурная политика Югры. Всего принято 22 нормативных правовых документа, назову главные из них: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мероприятий («дорожной карте») «Изменения в отраслях социальной сферы, направленные на повышение эффективности сферы культуры вХанты-Мансийском автономном округе - Югре»;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Стратегия развития культуры вХанты-Мансийском автономном округе – Югре до 2020 года и на период до 2030 года;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Слайд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основных мероприятий по проведению Года культуры в Югре;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Реестр объектов нематериального культурного наследия народов автономного округа.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2013 год стал годом формирования государственных программ. На уровне субъекта сформировано 25 государственных программ. 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09 октября принята г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осударственная программа «Развитие культуры и туризма вХанты-Мансийском автономном округе – Югре на 2014-2020 годы».</w:t>
      </w:r>
    </w:p>
    <w:p w:rsidR="00A15B44" w:rsidRPr="00A15B44" w:rsidRDefault="00A15B44" w:rsidP="00A15B44">
      <w:pPr>
        <w:widowControl w:val="0"/>
        <w:shd w:val="clear" w:color="auto" w:fill="4BACC6" w:themeFill="accent5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Calibri" w:hAnsi="Times New Roman" w:cs="Times New Roman"/>
          <w:b/>
          <w:sz w:val="26"/>
          <w:szCs w:val="26"/>
        </w:rPr>
        <w:t>Слайд</w:t>
      </w:r>
    </w:p>
    <w:p w:rsidR="00A15B44" w:rsidRPr="00A15B44" w:rsidRDefault="00A15B44" w:rsidP="00A15B4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 В 2013 году реализованы основные приоритеты бюджетной политики в области расходов, которые направлялись для решения приоритетных задач, экономически значимых программ и мероприятий, выполнения принятых обязательств перед гражданами Югры.</w:t>
      </w:r>
    </w:p>
    <w:p w:rsidR="00A15B44" w:rsidRPr="00A15B44" w:rsidRDefault="00A15B44" w:rsidP="00A15B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bCs/>
          <w:sz w:val="26"/>
          <w:szCs w:val="26"/>
        </w:rPr>
        <w:t xml:space="preserve">В 2013 году </w:t>
      </w:r>
      <w:r w:rsidRPr="00A15B44">
        <w:rPr>
          <w:rFonts w:ascii="Times New Roman" w:eastAsia="Times New Roman" w:hAnsi="Times New Roman" w:cs="Times New Roman"/>
          <w:b/>
          <w:bCs/>
          <w:sz w:val="26"/>
          <w:szCs w:val="26"/>
        </w:rPr>
        <w:t>расходы консолидированного бюджета автономного округа</w:t>
      </w:r>
      <w:r w:rsidRPr="00A15B44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 культуру, искусство и кинематографию составили 6 миллиардов 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563</w:t>
      </w:r>
      <w:r w:rsidRPr="00A15B44">
        <w:rPr>
          <w:rFonts w:ascii="Times New Roman" w:eastAsia="Times New Roman" w:hAnsi="Times New Roman" w:cs="Times New Roman"/>
          <w:bCs/>
          <w:sz w:val="26"/>
          <w:szCs w:val="26"/>
        </w:rPr>
        <w:t xml:space="preserve"> миллиона 900 </w:t>
      </w:r>
      <w:r w:rsidRPr="00A15B44">
        <w:rPr>
          <w:rFonts w:ascii="Times New Roman" w:eastAsia="Times New Roman" w:hAnsi="Times New Roman" w:cs="Times New Roman"/>
          <w:sz w:val="26"/>
          <w:szCs w:val="26"/>
        </w:rPr>
        <w:t>тысяч рублей</w:t>
      </w:r>
      <w:r w:rsidRPr="00A15B4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2,8 % в составе консолидированного бюджета, что на 7 миллионов 500 тысяч  больше, чем в 2012 году.</w:t>
      </w:r>
    </w:p>
    <w:p w:rsidR="00A15B44" w:rsidRPr="00A15B44" w:rsidRDefault="00A15B44" w:rsidP="00A15B4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 xml:space="preserve">Исполнение  плановых сумм по итогам года составило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</w:rPr>
        <w:t>99,9%.</w:t>
      </w:r>
    </w:p>
    <w:p w:rsidR="00A15B44" w:rsidRPr="00A15B44" w:rsidRDefault="00A15B44" w:rsidP="00A15B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Для сведения:</w:t>
      </w:r>
      <w:r w:rsidRPr="00A15B44">
        <w:rPr>
          <w:rFonts w:ascii="Times New Roman" w:eastAsia="Times New Roman" w:hAnsi="Times New Roman" w:cs="Times New Roman"/>
          <w:bCs/>
          <w:sz w:val="26"/>
          <w:szCs w:val="26"/>
        </w:rPr>
        <w:t xml:space="preserve"> в</w:t>
      </w:r>
      <w:r w:rsidRPr="00A15B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расчетную стоимость цены «потребительской корзины», услуги культуры включаются в минимальный набор услуг с учетом стоимости нормативного числа посещений театрально-зрелищных мероприятий, кинотеатров, музеев и выставок и составляет 5 % от величины прожиточного минимума или </w:t>
      </w:r>
      <w:r w:rsidRPr="00A15B4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540 рублей 90 копеек</w:t>
      </w:r>
      <w:r w:rsidRPr="00A15B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15B44" w:rsidRPr="00A15B44" w:rsidRDefault="00A15B44" w:rsidP="00A15B44">
      <w:pPr>
        <w:widowControl w:val="0"/>
        <w:shd w:val="clear" w:color="auto" w:fill="4BACC6" w:themeFill="accent5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положительной динамикой выполнены показатели  </w:t>
      </w:r>
      <w:r w:rsidRPr="00A15B4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плана мероприятий на 2013 год - дорожной карты «Изменения в отраслях социальной сферы» и показатели 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реализации майских Указов Президента РФ, в том числе средняя заработная плата работников учреждений культуры по итогам 2013 года составляет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32 536,36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рублей, или 60,1% от средней заработной платы по региону. Прирост за 2013 год по отношению к аналогичному периоду прошлого года составил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11,6  %.</w:t>
      </w:r>
    </w:p>
    <w:p w:rsidR="00A15B44" w:rsidRPr="00A15B44" w:rsidRDefault="00A15B44" w:rsidP="00A15B4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Для сведения: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Номинальная заработная плата в Югре увеличилась на 7,5 % и составила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54,5 тыс. рублей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15B44" w:rsidRPr="00A15B44" w:rsidRDefault="00A15B44" w:rsidP="00A15B44">
      <w:pPr>
        <w:widowControl w:val="0"/>
        <w:shd w:val="clear" w:color="auto" w:fill="948A54" w:themeFill="background2" w:themeFillShade="8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Слайд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Федерального бюджета привлечено на поддержку отрасли культура автономного округа иных межбюджетных трансфертов и субсидий в сумме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11 459,3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том числе:</w:t>
      </w:r>
    </w:p>
    <w:p w:rsidR="00A15B44" w:rsidRPr="00A15B44" w:rsidRDefault="00A15B44" w:rsidP="00A15B4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комплектование книжных фондов библиотек муниципальных образований в размере 3 734,0 тыс. рублей;</w:t>
      </w:r>
    </w:p>
    <w:p w:rsidR="00A15B44" w:rsidRPr="00A15B44" w:rsidRDefault="00A15B44" w:rsidP="00A15B4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проведение мероприятий по подключению библиотек к сети Интернет на сумму 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37,0 тыс. рублей;</w:t>
      </w:r>
    </w:p>
    <w:p w:rsidR="00A15B44" w:rsidRPr="00A15B44" w:rsidRDefault="00A15B44" w:rsidP="00A15B4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проведение Международного фестиваля кинематографических дебютов «Дух огня» в размере 3 000,0 тыс. рублей;</w:t>
      </w:r>
    </w:p>
    <w:p w:rsidR="00A15B44" w:rsidRPr="00A15B44" w:rsidRDefault="00A15B44" w:rsidP="00A15B4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hAnsi="Times New Roman" w:cs="Times New Roman"/>
          <w:sz w:val="26"/>
          <w:szCs w:val="26"/>
        </w:rPr>
        <w:t>на выплату денежного поощрения лучшим муниципальным учреждениям культуры, находящимся на территориях сельских поселений, и их работникам в размере 500,0 тыс. рублей.</w:t>
      </w:r>
    </w:p>
    <w:p w:rsidR="00A15B44" w:rsidRPr="00A15B44" w:rsidRDefault="00A15B44" w:rsidP="00A15B44">
      <w:pPr>
        <w:shd w:val="clear" w:color="auto" w:fill="948A54" w:themeFill="background2" w:themeFillShade="8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Слайд </w:t>
      </w:r>
    </w:p>
    <w:p w:rsidR="00A15B44" w:rsidRPr="00A15B44" w:rsidRDefault="00A15B44" w:rsidP="00A15B4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Из фонда депутатов Думы Югры для поддержки муниципальных и государственных учреждениям культуры автономного округа получено </w:t>
      </w:r>
      <w:r w:rsidRPr="00A15B44">
        <w:rPr>
          <w:rFonts w:ascii="Times New Roman" w:eastAsia="Calibri" w:hAnsi="Times New Roman" w:cs="Times New Roman"/>
          <w:b/>
          <w:bCs/>
          <w:sz w:val="26"/>
          <w:szCs w:val="26"/>
        </w:rPr>
        <w:t>53 081,6</w:t>
      </w:r>
      <w:r w:rsidRPr="00A15B44">
        <w:rPr>
          <w:rFonts w:ascii="Times New Roman" w:eastAsia="Calibri" w:hAnsi="Times New Roman" w:cs="Times New Roman"/>
          <w:bCs/>
          <w:sz w:val="26"/>
          <w:szCs w:val="26"/>
        </w:rPr>
        <w:t xml:space="preserve"> тыс. рублей, из них в адрес: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муниципальных учреждений культуры поступило </w:t>
      </w:r>
      <w:r w:rsidRPr="00A15B44">
        <w:rPr>
          <w:rFonts w:ascii="Times New Roman" w:eastAsia="Calibri" w:hAnsi="Times New Roman" w:cs="Times New Roman"/>
          <w:bCs/>
          <w:sz w:val="26"/>
          <w:szCs w:val="26"/>
        </w:rPr>
        <w:t>48 675,2 тыс. рублей,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государственных учреждений культуры поступило </w:t>
      </w:r>
      <w:r w:rsidRPr="00A15B4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4 406,5 тыс. </w:t>
      </w:r>
      <w:r w:rsidRPr="00A15B44">
        <w:rPr>
          <w:rFonts w:ascii="Times New Roman" w:eastAsia="Calibri" w:hAnsi="Times New Roman" w:cs="Times New Roman"/>
          <w:bCs/>
          <w:sz w:val="26"/>
          <w:szCs w:val="26"/>
        </w:rPr>
        <w:t>рублей.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>Денежные средства направлены на укрепление материально-технической базы государственных учреждений в сфере культуры (</w:t>
      </w:r>
      <w:r w:rsidRPr="00A15B44">
        <w:rPr>
          <w:rFonts w:ascii="Times New Roman" w:eastAsia="Calibri" w:hAnsi="Times New Roman" w:cs="Times New Roman"/>
          <w:i/>
          <w:sz w:val="26"/>
          <w:szCs w:val="26"/>
        </w:rPr>
        <w:t>приобретение сценических костюмов, оргтехники, транспорта, на пополнение библиотечного фонда, ремонт учреждений культуры</w:t>
      </w:r>
      <w:r w:rsidRPr="00A15B44">
        <w:rPr>
          <w:rFonts w:ascii="Times New Roman" w:eastAsia="Calibri" w:hAnsi="Times New Roman" w:cs="Times New Roman"/>
          <w:sz w:val="26"/>
          <w:szCs w:val="26"/>
        </w:rPr>
        <w:t>), издательскую деятельность, организацию поездок, постановку спектаклей.</w:t>
      </w:r>
    </w:p>
    <w:p w:rsidR="00A15B44" w:rsidRPr="00A15B44" w:rsidRDefault="00A15B44" w:rsidP="00A15B44">
      <w:pPr>
        <w:widowControl w:val="0"/>
        <w:shd w:val="clear" w:color="auto" w:fill="948A54" w:themeFill="background2" w:themeFillShade="8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финансирования муниципальных учреждений культуры предусмотрен в 2013 году в объеме 6 миллиардов 350 миллионов 927 тыс. рублей, в том числе по учреждениям культуры свыше 4 миллиардов рублей, по учреждения дополнительного образования – свыше полутора миллиардов рублей.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Исполнение составило 97,3 % от годовых назначений. </w:t>
      </w:r>
    </w:p>
    <w:p w:rsidR="00A15B44" w:rsidRPr="00A15B44" w:rsidRDefault="00A15B44" w:rsidP="00A15B44">
      <w:pPr>
        <w:widowControl w:val="0"/>
        <w:shd w:val="clear" w:color="auto" w:fill="D99594" w:themeFill="accent2" w:themeFillTint="99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Государственными и муниципальными учреждениями культуры и образования в сфере культуры за 2013 год оказано платных услуг  в объеме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648 миллионов 590 тысяч рублей,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что на 19 миллионов рублей меньше, чем в 2012 году.Финансовые средства, поступившие от приносящей доход деятельности, используются учреждениями на проведение культурно-массовых мероприятий, на улучшение материально-технической базы учреждений и стимулирование работников учреждений.</w:t>
      </w:r>
    </w:p>
    <w:p w:rsidR="00A15B44" w:rsidRPr="00A15B44" w:rsidRDefault="00A15B44" w:rsidP="00A15B44">
      <w:pPr>
        <w:widowControl w:val="0"/>
        <w:shd w:val="clear" w:color="auto" w:fill="D99594" w:themeFill="accent2" w:themeFillTint="99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A15B44" w:rsidRPr="00A15B44" w:rsidRDefault="00A15B44" w:rsidP="00A15B4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одного жителя автономного округа в  2013 году оказано платных услуг на сумму 422 рубля, что на 17 рублей больше, чем в 2012 году.</w:t>
      </w:r>
    </w:p>
    <w:p w:rsidR="00A15B44" w:rsidRPr="00A15B44" w:rsidRDefault="00A15B44" w:rsidP="00A15B44">
      <w:pPr>
        <w:shd w:val="clear" w:color="auto" w:fill="948A54" w:themeFill="background2" w:themeFillShade="8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  <w:lang w:eastAsia="ru-RU"/>
        </w:rPr>
        <w:t xml:space="preserve">Департамент являлся государственным заказчиком – координатором целевой программы «Культура Югры» и исполнителем мероприятий </w:t>
      </w:r>
      <w:r w:rsidRPr="00A15B44">
        <w:rPr>
          <w:rFonts w:ascii="Times New Roman" w:hAnsi="Times New Roman" w:cs="Times New Roman"/>
          <w:b/>
          <w:sz w:val="26"/>
          <w:szCs w:val="26"/>
          <w:lang w:eastAsia="ru-RU"/>
        </w:rPr>
        <w:t>10 целевых программ</w:t>
      </w:r>
      <w:r w:rsidRPr="00A15B44">
        <w:rPr>
          <w:rFonts w:ascii="Times New Roman" w:hAnsi="Times New Roman" w:cs="Times New Roman"/>
          <w:sz w:val="26"/>
          <w:szCs w:val="26"/>
          <w:lang w:eastAsia="ru-RU"/>
        </w:rPr>
        <w:t xml:space="preserve"> автономного округа. </w:t>
      </w:r>
      <w:r w:rsidRPr="00A15B44">
        <w:rPr>
          <w:rFonts w:ascii="Times New Roman" w:hAnsi="Times New Roman" w:cs="Times New Roman"/>
          <w:sz w:val="26"/>
          <w:szCs w:val="26"/>
        </w:rPr>
        <w:t xml:space="preserve">Вследствие полномасштабного перевода текущих расходов на целевые и ведомственные целевые программы в 2013 году возрос удельный вес расходов бюджета автономного округа на целевые программы и составил </w:t>
      </w:r>
      <w:r w:rsidRPr="00A15B44">
        <w:rPr>
          <w:rFonts w:ascii="Times New Roman" w:hAnsi="Times New Roman" w:cs="Times New Roman"/>
          <w:b/>
          <w:sz w:val="26"/>
          <w:szCs w:val="26"/>
        </w:rPr>
        <w:t>35%</w:t>
      </w:r>
      <w:r w:rsidRPr="00A15B44">
        <w:rPr>
          <w:rFonts w:ascii="Times New Roman" w:hAnsi="Times New Roman" w:cs="Times New Roman"/>
          <w:sz w:val="26"/>
          <w:szCs w:val="26"/>
        </w:rPr>
        <w:t xml:space="preserve"> в общем объеме расходов бюджета автономного округа.</w:t>
      </w:r>
      <w:r w:rsidRPr="00A15B44">
        <w:rPr>
          <w:rFonts w:ascii="Times New Roman" w:hAnsi="Times New Roman" w:cs="Times New Roman"/>
          <w:sz w:val="26"/>
          <w:szCs w:val="26"/>
          <w:lang w:eastAsia="ru-RU"/>
        </w:rPr>
        <w:t xml:space="preserve"> Общее исполнение по итогам года бюджетов  целевых программам составило 98,6</w:t>
      </w:r>
      <w:r w:rsidRPr="00A15B4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%</w:t>
      </w:r>
      <w:r w:rsidRPr="00A15B44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A15B44" w:rsidRPr="00A15B44" w:rsidRDefault="00A15B44" w:rsidP="00A15B44">
      <w:pPr>
        <w:shd w:val="clear" w:color="auto" w:fill="948A54" w:themeFill="background2" w:themeFillShade="8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hAnsi="Times New Roman" w:cs="Times New Roman"/>
          <w:sz w:val="26"/>
          <w:szCs w:val="26"/>
          <w:lang w:eastAsia="ru-RU"/>
        </w:rPr>
        <w:t>На реализацию мероприятий целевой программы «Культура Югры» было выделено 1 021 110,7 тыс. рублей.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hAnsi="Times New Roman" w:cs="Times New Roman"/>
          <w:sz w:val="26"/>
          <w:szCs w:val="26"/>
          <w:lang w:eastAsia="ru-RU"/>
        </w:rPr>
        <w:t>Исполнение по итогам 2013 года составило 93,2% от уточненного бюджетного плана.</w:t>
      </w:r>
    </w:p>
    <w:p w:rsidR="00A15B44" w:rsidRPr="00A15B44" w:rsidRDefault="00A15B44" w:rsidP="00A15B44">
      <w:pPr>
        <w:widowControl w:val="0"/>
        <w:shd w:val="clear" w:color="auto" w:fill="948A54" w:themeFill="background2" w:themeFillShade="8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средств бюджета автономного округа в муниципальные образования направлено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438 682,6 тыс. рублей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том числе иных межбюджетных трансфертов и субсидий на 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модернизацию муниципальных библиотек и музеев, ремонтно – реставрационные работы и </w:t>
      </w:r>
      <w:r w:rsidRPr="00A15B44">
        <w:rPr>
          <w:rFonts w:ascii="Times New Roman" w:hAnsi="Times New Roman" w:cs="Times New Roman"/>
          <w:sz w:val="26"/>
          <w:szCs w:val="26"/>
        </w:rPr>
        <w:t xml:space="preserve"> строительство учреждений культуры</w:t>
      </w:r>
      <w:r w:rsidRPr="00A15B44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В реализации мероприятий программы принимали участие 21 муниципальное образование, кроме г. Сургута.  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совместной работы достигнуты следующие результаты:</w:t>
      </w:r>
      <w:r w:rsidRPr="00A15B44">
        <w:rPr>
          <w:rFonts w:ascii="Times New Roman" w:hAnsi="Times New Roman" w:cs="Times New Roman"/>
          <w:b/>
          <w:sz w:val="26"/>
          <w:szCs w:val="26"/>
        </w:rPr>
        <w:tab/>
      </w:r>
    </w:p>
    <w:p w:rsidR="00A15B44" w:rsidRPr="00A15B44" w:rsidRDefault="00A15B44" w:rsidP="00A15B4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обновлен парк персональных компьютеров на 213 ПК в 20 муниципальных образованиях; </w:t>
      </w:r>
    </w:p>
    <w:p w:rsidR="00A15B44" w:rsidRPr="00A15B44" w:rsidRDefault="00A15B44" w:rsidP="00A15B44">
      <w:pPr>
        <w:tabs>
          <w:tab w:val="left" w:pos="-1418"/>
        </w:tabs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обновлены справочно-правовые системы 73 библиотек; </w:t>
      </w:r>
    </w:p>
    <w:p w:rsidR="00A15B44" w:rsidRPr="00A15B44" w:rsidRDefault="00A15B44" w:rsidP="00A15B44">
      <w:pPr>
        <w:tabs>
          <w:tab w:val="left" w:pos="-1418"/>
        </w:tabs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обеспечен доступ  143 библиотек к сети Интернет; </w:t>
      </w:r>
    </w:p>
    <w:p w:rsidR="00A15B44" w:rsidRPr="00A15B44" w:rsidRDefault="00A15B44" w:rsidP="00A15B44">
      <w:pPr>
        <w:tabs>
          <w:tab w:val="left" w:pos="-1418"/>
        </w:tabs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осуществлено приобретение, обновление и сопровождение автоматизированных библиотечно-информационных систем в 14 муниципальных образованиях; </w:t>
      </w:r>
    </w:p>
    <w:p w:rsidR="00A15B44" w:rsidRPr="00A15B44" w:rsidRDefault="00A15B44" w:rsidP="00A15B44">
      <w:pPr>
        <w:tabs>
          <w:tab w:val="left" w:pos="-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модернизировано 4 сельские библиотеки: Каркатеевская поселенческая библиотека (Нефтеюганский</w:t>
      </w:r>
      <w:r w:rsidRPr="00A15B4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район)</w:t>
      </w:r>
      <w:r w:rsidRPr="00A15B4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, </w:t>
      </w:r>
      <w:r w:rsidRPr="00A15B4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библиотека сп. Русскинская, библиотека сп. Солнечный (Сургутский район), библиотека сп.  Приполярный (Березовский район);</w:t>
      </w:r>
    </w:p>
    <w:p w:rsidR="00A15B44" w:rsidRPr="00A15B44" w:rsidRDefault="00A15B44" w:rsidP="00A15B44">
      <w:pPr>
        <w:tabs>
          <w:tab w:val="left" w:pos="-1418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модернизированы и разработаны сайты 2 библиотек </w:t>
      </w:r>
      <w:r w:rsidRPr="00A15B4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Сургутского района; </w:t>
      </w:r>
    </w:p>
    <w:p w:rsidR="00A15B44" w:rsidRPr="00A15B44" w:rsidRDefault="00A15B44" w:rsidP="00A15B44">
      <w:pPr>
        <w:tabs>
          <w:tab w:val="left" w:pos="-1418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A15B44">
        <w:rPr>
          <w:rFonts w:ascii="Times New Roman" w:hAnsi="Times New Roman" w:cs="Times New Roman"/>
          <w:sz w:val="26"/>
          <w:szCs w:val="26"/>
        </w:rPr>
        <w:t>обеспечено</w:t>
      </w:r>
      <w:r w:rsidRPr="00A15B44">
        <w:rPr>
          <w:rFonts w:ascii="Times New Roman" w:hAnsi="Times New Roman" w:cs="Times New Roman"/>
          <w:sz w:val="26"/>
          <w:szCs w:val="26"/>
          <w:lang w:bidi="en-US"/>
        </w:rPr>
        <w:t> </w:t>
      </w:r>
      <w:r w:rsidRPr="00A15B44">
        <w:rPr>
          <w:rFonts w:ascii="Times New Roman" w:hAnsi="Times New Roman" w:cs="Times New Roman"/>
          <w:sz w:val="26"/>
          <w:szCs w:val="26"/>
        </w:rPr>
        <w:t xml:space="preserve"> годовое сопровождение Комплексной автоматизированной музейной информационной системы КАМИС во всех музеях автономного округа;</w:t>
      </w:r>
    </w:p>
    <w:p w:rsidR="00A15B44" w:rsidRPr="00A15B44" w:rsidRDefault="00A15B44" w:rsidP="00A15B44">
      <w:pPr>
        <w:shd w:val="clear" w:color="auto" w:fill="948A54" w:themeFill="background2" w:themeFillShade="8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A15B44">
        <w:rPr>
          <w:rFonts w:ascii="Times New Roman" w:hAnsi="Times New Roman" w:cs="Times New Roman"/>
          <w:sz w:val="26"/>
          <w:szCs w:val="26"/>
        </w:rPr>
        <w:t xml:space="preserve">лайд </w:t>
      </w:r>
    </w:p>
    <w:p w:rsidR="00A15B44" w:rsidRPr="00A15B44" w:rsidRDefault="00A15B44" w:rsidP="00A15B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ab/>
        <w:t>продолжены ремонтно-реставрационные работы на 3-х объектах культурного наследия: Октябрьском, Нижневартовском и Ханты-Мансийском районах, на эти цели направлено 100 миллионов  рублей;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введено в эксплуатацию 5 объектов культуры:культурный центр (дом культуры, детская музыкальная школа, библиотека) в пгт. Пионерский Советского района, этнографический выставочный зал в национальном селе Казым (Белоярский район);Дом культуры «Сибирь» п.г.т. Высокий; Художественно-эстетическая школа по ул. Никольской в г. Югорске; Дом культуры – библиотека - физкультурно-спортивный комплекс с универсальным спортивным залом в с. Саранпауль Березовского района. </w:t>
      </w:r>
    </w:p>
    <w:p w:rsidR="00A15B44" w:rsidRPr="00A15B44" w:rsidRDefault="00A15B44" w:rsidP="00A15B44">
      <w:pPr>
        <w:shd w:val="clear" w:color="auto" w:fill="948A54" w:themeFill="background2" w:themeFillShade="8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При определении особенностей культурного процесса на современном этапе особое внимание необходимо обратить на региональную пестроту культурного пространства Югры. </w:t>
      </w:r>
    </w:p>
    <w:p w:rsidR="00A15B44" w:rsidRPr="00A15B44" w:rsidRDefault="00A15B44" w:rsidP="00A15B4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В 2013 году государственный и муниципальный сектор культуры Югры был представлен многопрофильной сетью учреждений культуры по всем видам культурной деятельности, состоящий из 485 учреждений культуры, 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отчетный период сеть учреждений культуры  уменьшилась на 3 единицы в связи со слиянием Белоярского выставочного зала и филиала Этнографического музея в п. Казым Белоярского района и сокращением  сети муниципальных библиотек на 2 сетевые единицы.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Сеть подведомственных Департаменту учреждений не изменилась - в ведомственной принадлежности находятся </w:t>
      </w:r>
      <w:r w:rsidRPr="00A15B44">
        <w:rPr>
          <w:rFonts w:ascii="Times New Roman" w:eastAsia="Calibri" w:hAnsi="Times New Roman" w:cs="Times New Roman"/>
          <w:b/>
          <w:sz w:val="26"/>
          <w:szCs w:val="26"/>
        </w:rPr>
        <w:t>24</w:t>
      </w: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 государственных учреждения культуры.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15B4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В отчетном году функционировало </w:t>
      </w:r>
      <w:r w:rsidRPr="00A15B44">
        <w:rPr>
          <w:rFonts w:ascii="Times New Roman" w:hAnsi="Times New Roman" w:cs="Times New Roman"/>
          <w:b/>
          <w:sz w:val="26"/>
          <w:szCs w:val="26"/>
        </w:rPr>
        <w:t>236 публичных (общедоступных) библиотек</w:t>
      </w:r>
      <w:r w:rsidRPr="00A15B44">
        <w:rPr>
          <w:rFonts w:ascii="Times New Roman" w:hAnsi="Times New Roman" w:cs="Times New Roman"/>
          <w:sz w:val="26"/>
          <w:szCs w:val="26"/>
        </w:rPr>
        <w:t xml:space="preserve"> и Государственная библиотека Югры. </w:t>
      </w:r>
    </w:p>
    <w:p w:rsidR="00A15B44" w:rsidRPr="00A15B44" w:rsidRDefault="00A15B44" w:rsidP="00A15B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Процент охвата населения региона библиотечным обслуживанием составляет 28 %. Число читателей по сравнению с предыдущим годом выросло на 0,9 %.  Количество посещений  выросло на 3 %;</w:t>
      </w:r>
    </w:p>
    <w:p w:rsidR="00A15B44" w:rsidRPr="00A15B44" w:rsidRDefault="00A15B44" w:rsidP="00A15B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Совокупное финансирование библиотечного обслуживания в Югре  в расчете на одного жителя составило </w:t>
      </w:r>
      <w:r w:rsidRPr="00A15B44">
        <w:rPr>
          <w:rFonts w:ascii="Times New Roman" w:hAnsi="Times New Roman" w:cs="Times New Roman"/>
          <w:b/>
          <w:sz w:val="26"/>
          <w:szCs w:val="26"/>
        </w:rPr>
        <w:t>652 рубля</w:t>
      </w:r>
      <w:r w:rsidRPr="00A15B44">
        <w:rPr>
          <w:rFonts w:ascii="Times New Roman" w:hAnsi="Times New Roman" w:cs="Times New Roman"/>
          <w:sz w:val="26"/>
          <w:szCs w:val="26"/>
        </w:rPr>
        <w:t xml:space="preserve">.  230 библиотек подключено к сети Интернет, 226 – </w:t>
      </w:r>
      <w:r w:rsidRPr="00A15B44">
        <w:rPr>
          <w:rFonts w:ascii="Times New Roman" w:hAnsi="Times New Roman" w:cs="Times New Roman"/>
          <w:sz w:val="26"/>
          <w:szCs w:val="26"/>
        </w:rPr>
        <w:lastRenderedPageBreak/>
        <w:t>имеют электронную почту, 236 – имеют электронный каталог, 27 – имеют собственный сайт/портал.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 Количество оцифрованных библиотеками документов по сравнению с предыдущем годом увеличилось на 46 %.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В регионе существует 34 государственных и муниципальных музеев.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Основной фонд государственных и муниципальных музеев насчитывает 446 227 единиц хранения, в постоянных экспозициях представлено 12 % основного фонда, в выставочной деятельности ежегодно используется 1 % основного фонда. 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25</w:t>
      </w:r>
      <w:r w:rsidRPr="00A15B44">
        <w:rPr>
          <w:rFonts w:ascii="Times New Roman" w:hAnsi="Times New Roman" w:cs="Times New Roman"/>
          <w:sz w:val="26"/>
          <w:szCs w:val="26"/>
        </w:rPr>
        <w:t xml:space="preserve"> музейных объектов Югры включены в маршруты региональных туристских фирм и лишь </w:t>
      </w:r>
      <w:r w:rsidRPr="00A15B44">
        <w:rPr>
          <w:rFonts w:ascii="Times New Roman" w:hAnsi="Times New Roman" w:cs="Times New Roman"/>
          <w:b/>
          <w:sz w:val="26"/>
          <w:szCs w:val="26"/>
        </w:rPr>
        <w:t>8</w:t>
      </w:r>
      <w:r w:rsidRPr="00A15B44">
        <w:rPr>
          <w:rFonts w:ascii="Times New Roman" w:hAnsi="Times New Roman" w:cs="Times New Roman"/>
          <w:sz w:val="26"/>
          <w:szCs w:val="26"/>
        </w:rPr>
        <w:t xml:space="preserve"> объектов – в маршруты общероссийских туристских фирм. 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В </w:t>
      </w:r>
      <w:r w:rsidRPr="00A15B44">
        <w:rPr>
          <w:rFonts w:ascii="Times New Roman" w:hAnsi="Times New Roman" w:cs="Times New Roman"/>
          <w:b/>
          <w:sz w:val="26"/>
          <w:szCs w:val="26"/>
        </w:rPr>
        <w:t>22 музея</w:t>
      </w:r>
      <w:r w:rsidRPr="00A15B44">
        <w:rPr>
          <w:rFonts w:ascii="Times New Roman" w:hAnsi="Times New Roman" w:cs="Times New Roman"/>
          <w:sz w:val="26"/>
          <w:szCs w:val="26"/>
        </w:rPr>
        <w:t xml:space="preserve">х существуют выставочные помещения для организации работы сменных выставок, в том числе для демонстрации передвижных выставочных проектов в области изобразительного искусства. В течение 2013 года в них было проведено 197 выставок, среди них вызвали наибольший интерес: 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выставки, состоявшиеся на базе Государственного художественного музея, г. Ханты-Мансийск: «Время Кандинского» (Германия); «Мой мир» – графика А. Сорокина (г. Красноярск), выставка из фондов музея «Романовы. Три века» – печатная графика XVII – XIX веков.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Межрегиональной социально-творческой проект  «Рельефы цвета», реализованный Галереей современного искусства «Стерх» (г. Сурут), состоящий из серии выставок и проектов, адаптированных для незрячих посетителей (на выставочных площадках г. Сургута и г. Ханты-Мансийска). 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2013 году </w:t>
      </w: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достигнуты значимые результаты по 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созданию региональной информационной системы музейных и библиотечных электронных ресурсов.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говорить языком цифр, то характеристика достижений весьма показательна: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91 % государственных и муниципальных музеев автономного округа проведена модернизация </w:t>
      </w:r>
      <w:r w:rsidRPr="00A15B4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IT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-инфраструктуры;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>доля музеев, оснащенных персональными компьютерами, составляет 100 %, в УрФО – 90,2  %,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доля музеев, имеющих доступ к сети Интернет – 100 % , в УрФО – 61,2%. 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>В 32 % музеев функционируют центры общественного доступа к социально-значимой информации.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В электронные базы данных музеев внесены 69 % основного и научно-вспомогательного фонда</w:t>
      </w:r>
      <w:r w:rsidRPr="00A15B4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r w:rsidRPr="00A15B44">
        <w:rPr>
          <w:rFonts w:ascii="Times New Roman" w:hAnsi="Times New Roman" w:cs="Times New Roman"/>
          <w:sz w:val="26"/>
          <w:szCs w:val="26"/>
        </w:rPr>
        <w:t xml:space="preserve">22 % музейных предметов  имеют цифровые изображения,  15 % основного фонда музейного фонда представлено в сети Интернет.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  В марте 2013 года запущен сводный портал «Музеи Югры», который предоставляет доступ пользователям сети Интернет к 69,5 тысячам оцифрованным музейным предметам, хранящимся в государственных и муниципальных музеях автономного округа. </w:t>
      </w:r>
    </w:p>
    <w:p w:rsidR="00A15B44" w:rsidRPr="00A15B44" w:rsidRDefault="00A15B44" w:rsidP="00A15B44">
      <w:pPr>
        <w:shd w:val="clear" w:color="auto" w:fill="948A54" w:themeFill="background2" w:themeFillShade="8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 xml:space="preserve">  100% библиотек оснащены ПК, 97% подключены к Интернету;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A15B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объем электронных каталогов общедоступных библиотек  к общему объему фондов составляет 69,3 %</w:t>
      </w:r>
      <w:r w:rsidRPr="00A15B44">
        <w:rPr>
          <w:rFonts w:ascii="Times New Roman" w:eastAsia="Calibri" w:hAnsi="Times New Roman" w:cs="Times New Roman"/>
          <w:sz w:val="26"/>
          <w:szCs w:val="26"/>
          <w:lang w:bidi="en-US"/>
        </w:rPr>
        <w:t xml:space="preserve">;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bCs/>
          <w:sz w:val="26"/>
          <w:szCs w:val="26"/>
        </w:rPr>
        <w:t>доля отраженного в электронном каталоге библиотечного фонда составляет 100 % в библиотеках г. Когалым, г. Сургут и Государственной библиотеке Югры, к 100 % значениям приближены показатели в г. Нефтеюганске, Сургутском районе;</w:t>
      </w:r>
    </w:p>
    <w:p w:rsidR="00A15B44" w:rsidRPr="00A15B44" w:rsidRDefault="00A15B44" w:rsidP="00A15B4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</w:t>
      </w:r>
      <w:r w:rsidRPr="00A15B44">
        <w:rPr>
          <w:rFonts w:ascii="Times New Roman" w:eastAsia="Calibri" w:hAnsi="Times New Roman" w:cs="Times New Roman"/>
          <w:sz w:val="26"/>
          <w:szCs w:val="26"/>
          <w:lang w:bidi="en-US"/>
        </w:rPr>
        <w:t>оля государственных и муниципальных библиотек, имеющих веб-сайты в сети Интернет, в среднем по округу составляет 11 %.</w:t>
      </w:r>
    </w:p>
    <w:p w:rsidR="00A15B44" w:rsidRPr="00A15B44" w:rsidRDefault="00A15B44" w:rsidP="00A15B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центры общественного доступа действуют на базе 188 общедоступных библиотек Югры.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b/>
          <w:sz w:val="26"/>
          <w:szCs w:val="26"/>
        </w:rPr>
        <w:t xml:space="preserve">Это хорошие результаты </w:t>
      </w:r>
      <w:r w:rsidRPr="00A15B44">
        <w:rPr>
          <w:rFonts w:ascii="Times New Roman" w:hAnsi="Times New Roman" w:cs="Times New Roman"/>
          <w:b/>
          <w:sz w:val="26"/>
          <w:szCs w:val="26"/>
        </w:rPr>
        <w:t xml:space="preserve">нашей с вами совместной работы. 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Я хочу это подчеркнуть!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В 2013 году с положительной динамикой развития работало </w:t>
      </w:r>
      <w:r w:rsidRPr="00A15B44">
        <w:rPr>
          <w:rFonts w:ascii="Times New Roman" w:hAnsi="Times New Roman" w:cs="Times New Roman"/>
          <w:b/>
          <w:sz w:val="26"/>
          <w:szCs w:val="26"/>
        </w:rPr>
        <w:t>72 учебных заведения культуры и искусства,</w:t>
      </w:r>
      <w:r w:rsidRPr="00A15B44">
        <w:rPr>
          <w:rFonts w:ascii="Times New Roman" w:hAnsi="Times New Roman" w:cs="Times New Roman"/>
          <w:sz w:val="26"/>
          <w:szCs w:val="26"/>
        </w:rPr>
        <w:t xml:space="preserve"> из них: 3 учебных заведения высшего профессионального образования, 5 образовательных учреждений среднего профессионального образования и 64 детские школы искусств (в т.ч. 6 филиалов).</w:t>
      </w:r>
    </w:p>
    <w:p w:rsidR="00A15B44" w:rsidRPr="00A15B44" w:rsidRDefault="00A15B44" w:rsidP="00A15B44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Охват дополнительным художественным образованием по автономному округу остается стабильным на протяжении  трех лет и составляет 13 % , по РФ – 12 %.      В 2013 году количество обучающихся в детских школах искусств увеличилось на 801 человека и составило 19 тысяч 710 человек.</w:t>
      </w:r>
    </w:p>
    <w:p w:rsidR="00A15B44" w:rsidRPr="00A15B44" w:rsidRDefault="00A15B44" w:rsidP="00A15B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всероссийских, международных конкурсах – 2 107 обучающихся, что выше на 71 % по сравнению с показателем 2012 года. В общей сложности юными дарованиями Югры было завоевано 1 278 наград, грантов, дипломов.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2013 году финансирование детских школ искусств по сравнению с 2012 годом увеличилось на 35 %, что составило в денежном выражении 429 миллионов  867 тысяч рублей.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Слайд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учреждениях среднего профессионального образования в 5 учреждениях среднего профессионального образования обучается 1 225 человек, в том числе по программам среднего профессионального образования 573 человек,     количество стипендиатов в среднем по итогам 2013 года составило 284 студентов, средний размер стипендии составил 2 тысячи 84 рубля.  Сумма выплаченных стипендий за 2013 год составила 7 миллионов  104 тысячи 804 рубля.</w:t>
      </w:r>
    </w:p>
    <w:p w:rsidR="00A15B44" w:rsidRPr="00A15B44" w:rsidRDefault="00A15B44" w:rsidP="00A15B44">
      <w:pPr>
        <w:shd w:val="clear" w:color="auto" w:fill="948A54" w:themeFill="background2" w:themeFillShade="8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с 9 по 23 июля 2013 года в Суздале прошла XXI Летняя творческая школа «Новые имена»,  в которой приняли участие 40 учащихся и преподавателей образовательных учреждений в сфере культуры и искусства Ханты-Мансийского автономного округа – Югры. Финансирование составило 2 млн. руб.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с 1 по 6 ноября в городах Нягани и Сургуте была проведена Осенняя творческая школа «Новые имена Югры». 113 обучающихся и преподавателей муниципальных и государственных образовательных организаций приняли участие в работе школы. Осенняя творческая школа организована под патронажем Губернатора Югры Натальи Владимировны Комаровой, при финансовой поддержке ООО «РК-Юганскнефтегаз». 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В 2013 году звания «Молодое дарование» общероссийского конкурса, учрежденного Министерством культуры Российской Федерации, удостоена: Десяткова Каролина Андреевна, обучающаяся  муниципального бюджетного образовательного учреждения дополнительного образования детей «Детская школа искусств им. Г. Кукуевицкого», преподаватель Тиунова Светлана Викторовна, г. Сургут.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8</w:t>
      </w:r>
      <w:r w:rsidRPr="00A15B44">
        <w:rPr>
          <w:rFonts w:ascii="Times New Roman" w:hAnsi="Times New Roman" w:cs="Times New Roman"/>
          <w:sz w:val="26"/>
          <w:szCs w:val="26"/>
        </w:rPr>
        <w:t xml:space="preserve"> воспитанникам образовательных учреждений культуры и искусства  автономного округа в рамках приоритетного национального проекта «Образование» в 2013 году присуждена премия Президента Российской Федерации «Поддержка талантливой молодежи». Вознаграждение составило 30 000 руб.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Слайд</w:t>
      </w:r>
    </w:p>
    <w:p w:rsidR="00A15B44" w:rsidRPr="00A15B44" w:rsidRDefault="00A15B44" w:rsidP="00A15B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lastRenderedPageBreak/>
        <w:t>Департаментом в 2013 году был размещен государственный заказ на оказание образовательных услуг по подготовке специалистов высшей квалификации для отрасли культуры автономного округа в трех Ханты-Мансийских филиалах федеральных учебных заведений (далее – филиалы):</w:t>
      </w:r>
    </w:p>
    <w:p w:rsidR="00A15B44" w:rsidRPr="00A15B44" w:rsidRDefault="00A15B44" w:rsidP="00A15B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Ханты-Мансийском институте дизайна и прикладных искусств (филиал) Уральской государственной архитектурно-художественной академии;</w:t>
      </w:r>
    </w:p>
    <w:p w:rsidR="00A15B44" w:rsidRPr="00A15B44" w:rsidRDefault="00A15B44" w:rsidP="00A15B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Ханты-Мансийском филиале Российской академии музыки им. Гнесиных;</w:t>
      </w:r>
    </w:p>
    <w:p w:rsidR="00A15B44" w:rsidRPr="00A15B44" w:rsidRDefault="00A15B44" w:rsidP="00A15B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Ханты-Мансийском филиале Московского государственного университета культуры и искусства. </w:t>
      </w:r>
    </w:p>
    <w:p w:rsidR="00A15B44" w:rsidRPr="00A15B44" w:rsidRDefault="00A15B44" w:rsidP="00A15B4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Финансирование филиалов осуществлялось из средств целевой программы Ханты-Мансийского автономного округа-Югры «Новая школа Югры» в рамках государственного заказа на подготовку специалистов для отрасли культура. В рамках регионально-целевой подготовки специалистов в 3-х филиалах проходили подготовку по творческим специальностям 181 человек. </w:t>
      </w:r>
    </w:p>
    <w:p w:rsidR="00A15B44" w:rsidRPr="00A15B44" w:rsidRDefault="00A15B44" w:rsidP="00A15B4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мониторинга эффективности деятельности вузов, проведенного Министерством образования и науки Российской Федерации в 2012 году, филиалы Московского государственного университета культуры и искусств и Российской академии музыки им. Гнесиных в г. Ханты-Мансийске (далее – филиалы) отнесены к группе неэффективных. Причина – не достижение филиалами пороговых значений критериев эффективности по контингенту студентов, доле кандидатов и докторов наук, привлеченных к преподавательской деятельности, показателям инфраструктуры, научно-исследовательской и международной деятельности.</w:t>
      </w:r>
    </w:p>
    <w:p w:rsidR="00A15B44" w:rsidRPr="00A15B44" w:rsidRDefault="00A15B44" w:rsidP="00A15B4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этим Министерством культуры Российской Федерации, учредителем Московского государственного университета культуры и Российской академией музыки имени Гнесиных, в октябре 2012 года в адрес ректоров вузов направлено письмо с поручением рассмотреть вопрос закрытия неэффективных филиалов вузов и представить планы-графики мероприятий по закрытию. </w:t>
      </w:r>
    </w:p>
    <w:p w:rsidR="00A15B44" w:rsidRPr="00A15B44" w:rsidRDefault="00A15B44" w:rsidP="00A15B4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Ученые Совета указанных вузов приняли решение о прекращении набора в филиалы с 2013 года и их закрытия с сентября 2014 года с переводом студентов для продолжения обучения в головной вуз, либо обеспечить их перевод по их согласию в иные вузы культуры на территории Российской Федерации.</w:t>
      </w:r>
    </w:p>
    <w:p w:rsidR="00A15B44" w:rsidRPr="00A15B44" w:rsidRDefault="00A15B44" w:rsidP="00A15B4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Предложение Департамента культурыо создании на базе Югорского государственного университета структурного подразделения для обучения специалистов группы «Культура и искусство» Министерством культуры Российской Федерации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отклонено в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связи с нецелесообразностью реализации образовательных программ высшего профессионального образования группы «Культура и искусство» в непрофильных вузах. </w:t>
      </w:r>
    </w:p>
    <w:p w:rsidR="00A15B44" w:rsidRPr="00A15B44" w:rsidRDefault="00A15B44" w:rsidP="00A15B4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полного завершения освоения образовательных программ и обеспечения исполнения обязательств, принятых автономным округом, Департаментом культуры  совместно с Департаментом образования и молодежной политики автономного округа принято решение и предложено филиалам перевести студентов на обучение по сокращенной программе, что позволит всем студентам, обучающимся в филиалах в настоящее время, освоить в полном объеме программу бакалавриата и получить дипломы о высшем образовании в 2015 году.</w:t>
      </w:r>
    </w:p>
    <w:p w:rsidR="00A15B44" w:rsidRPr="00A15B44" w:rsidRDefault="00A15B44" w:rsidP="00A15B4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С 2014 года финансирование филиалов будет осуществлять Департамент образования и молодежной политики автономного округа.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lastRenderedPageBreak/>
        <w:t>Профессиональное сценическое искусство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в Югре в отчетном году  было представлено </w:t>
      </w:r>
      <w:r w:rsidRPr="00A15B44">
        <w:rPr>
          <w:rFonts w:ascii="Times New Roman" w:hAnsi="Times New Roman" w:cs="Times New Roman"/>
          <w:b/>
          <w:sz w:val="26"/>
          <w:szCs w:val="26"/>
        </w:rPr>
        <w:t>8</w:t>
      </w:r>
      <w:r w:rsidRPr="00A15B44">
        <w:rPr>
          <w:rFonts w:ascii="Times New Roman" w:hAnsi="Times New Roman" w:cs="Times New Roman"/>
          <w:sz w:val="26"/>
          <w:szCs w:val="26"/>
        </w:rPr>
        <w:t xml:space="preserve"> профессиональными театральными коллективами.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В театральное творческое сообщество влилось новое учреждение – муниципальное  автономное учреждение «Театр актера и куклы «Петрушка» (г. Сургут), до ноября 2012 года являлось структурным подразделением МАУ «Сургутская филармония». 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Численность работников в профессиональных театрах составила 562 человека, принято на работу в 2013 году 34 сотрудника.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Зрительская аудитория 8 профессиональных театров автономного округа в 2013 году составила более 257 тысяч человек, что на 29 тысяч человек больше, чем в 2012 году. В 2013 году организовано и успешно показано 2 тысячи 115 театральных мероприятий, данный показатель тоже превышает показатель 2012 года на 443 мероприятия.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Мероприятий для детской аудитории организовано на 412 больше,  чем в 2012 году  (1 749 мероприятий для детей).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В рамках гастрольной деятельности был осуществлен показ 204  спектаклей, которые посетили 23,5 тыс. чел., из них – 16,0 тыс. – дети.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На территории Югры осуществляют свою деятельность </w:t>
      </w:r>
      <w:r w:rsidRPr="00A15B44">
        <w:rPr>
          <w:rFonts w:ascii="Times New Roman" w:hAnsi="Times New Roman" w:cs="Times New Roman"/>
          <w:b/>
          <w:sz w:val="26"/>
          <w:szCs w:val="26"/>
        </w:rPr>
        <w:t xml:space="preserve">6 концертных организаций, из них 4 </w:t>
      </w:r>
      <w:r w:rsidRPr="00A15B44">
        <w:rPr>
          <w:rFonts w:ascii="Times New Roman" w:hAnsi="Times New Roman" w:cs="Times New Roman"/>
          <w:sz w:val="26"/>
          <w:szCs w:val="26"/>
        </w:rPr>
        <w:t>государственных учреждений: Концертно-театральный центр «Югра-Классик», Духовой оркестр Югры, Ансамбль песни и танца, Международный центр моды  и два муниципальных автономных учреждениях – «Сургутская филармония» г. Сургут и «Театр песни» г. Мегион.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В течение последних лет формируется постоянная аудитория посетителей концертов, что отражает повышение качества услуг концертных организаций, их общественную значимость и востребованность населением. 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В 2013 году концертными организациями проведено 1348 концертов для 258,2 тыс. чел. на своих площадках и на выезде.  Средняя посещаемость зрителей на одном мероприятии увеличилась и составила 192 человека (2012 год – 179чел.).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Рост масштабов концертной деятельности на территории Югры привели к повышению обеспеченности жителей округа концертным обслуживанием, тенденция развития концертной деятельности и ее распределение по территории региона в целом оценивается положительно. 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Слайд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В 2013 году в Югре работало </w:t>
      </w:r>
      <w:r w:rsidRPr="00A15B44">
        <w:rPr>
          <w:rFonts w:ascii="Times New Roman" w:hAnsi="Times New Roman" w:cs="Times New Roman"/>
          <w:b/>
          <w:sz w:val="26"/>
          <w:szCs w:val="26"/>
        </w:rPr>
        <w:t>124 учреждения культурно-досугового типа</w:t>
      </w:r>
      <w:r w:rsidRPr="00A15B44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2</w:t>
      </w:r>
      <w:r w:rsidRPr="00A15B44">
        <w:rPr>
          <w:rFonts w:ascii="Times New Roman" w:hAnsi="Times New Roman" w:cs="Times New Roman"/>
          <w:sz w:val="26"/>
          <w:szCs w:val="26"/>
        </w:rPr>
        <w:t xml:space="preserve"> государственных учреждения культуры – автономное учреждение «Творческое объединение «Культура» и бюджетное учреждение «Центр народных художественных промыслов и ремесел»;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 xml:space="preserve">122 </w:t>
      </w:r>
      <w:r w:rsidRPr="00A15B44">
        <w:rPr>
          <w:rFonts w:ascii="Times New Roman" w:hAnsi="Times New Roman" w:cs="Times New Roman"/>
          <w:sz w:val="26"/>
          <w:szCs w:val="26"/>
        </w:rPr>
        <w:t>муниципальных учреждений культурно-досугового типа и 81 их филиал.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На базе этих учреждений создано 2 291 клубное формирование с количеством участников 35 694 человека. 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звание «Народный» и «Образцовый» присвоено 182 клубным формированиям. В отчетный период проведено 4 295 мероприятий, это на 11 % больше, чем в 2012 году).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A15B44" w:rsidRPr="00A15B44" w:rsidRDefault="00A15B44" w:rsidP="00A15B4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ab/>
        <w:t>В течение года в рамках программы «Живи глубинка» Центром ремесел проведены комплексные экспедиции для сбора и изучения материала по территории Сургутского района в июне 2013 года, Кондинского района, городов Сургут, Томск, Тобольск.  По итогам экспедиционной работы в фонды Центра ремесел поступило более 300 снимков экспонатов (на электронных носителях) с полным описанием предметов.</w:t>
      </w:r>
      <w:r w:rsidRPr="00A15B44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lastRenderedPageBreak/>
        <w:t>Окружной Центр ремёсел является объединяющим методическим центром для более, чем 2-х тысяч мастеров Югры. В 2013 году  за счет средств целевой программы «Культура Югры» обеспечено участие во Всероссийских и Международных выставках народных промыслов и ремесел для 130 мастеров из муниципальных образований. Впервые в Сербии и Словакии были представлены выставки о традиционном  искусстве коренных малочисленных народов Севера.  Оказана практическая помощь по трансляции и продвижению продукции мастеров на рынок Югры и России. Системно оказывается поддержка в приобретении расходных материалов для изготовления предметов декоративно – прикладного искусства.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Проведено 123 мастер-класса, в которых приняло участие 772 человека. Для детской и подростковой аудитории проведено 59 мастер-классов, в них приняло участие более 500  детей.</w:t>
      </w:r>
    </w:p>
    <w:p w:rsidR="00A15B44" w:rsidRPr="00A15B44" w:rsidRDefault="00A15B44" w:rsidP="00A15B4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ab/>
        <w:t>Проведено более 20 школ – мастерских по обучению и передачи навыков работы с материалами, в которых приняло участие свыше 400 мастеров из муниципальных образований, пребывание мастеров оплачивается за счёт средств округа и привлечённых Фондом поддержки народных художественных промыслов денежных средств. Впервые силами Центра ремесел при поддержке Фонда проведены семинарские занятия для людей с ограниченными возможностями здоровье и пожилых.</w:t>
      </w:r>
    </w:p>
    <w:p w:rsidR="00A15B44" w:rsidRPr="00A15B44" w:rsidRDefault="00A15B44" w:rsidP="00A15B4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ab/>
        <w:t xml:space="preserve"> По итогам работы в 2013 году Центр ремесел включен во Всероссийский реестр социально – ответственных предприятий по работе с инвалидами, на данную деятельность получено свидетельство.</w:t>
      </w:r>
    </w:p>
    <w:p w:rsidR="00A15B44" w:rsidRPr="00A15B44" w:rsidRDefault="00A15B44" w:rsidP="00A15B44">
      <w:pPr>
        <w:tabs>
          <w:tab w:val="left" w:pos="0"/>
        </w:tabs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b/>
          <w:sz w:val="26"/>
          <w:szCs w:val="26"/>
        </w:rPr>
        <w:t>Это высокая оценка деятельности учреждения!!    Поздравляем!</w:t>
      </w:r>
    </w:p>
    <w:p w:rsidR="00A15B44" w:rsidRPr="00A15B44" w:rsidRDefault="00A15B44" w:rsidP="00A15B44">
      <w:pPr>
        <w:shd w:val="clear" w:color="auto" w:fill="948A54" w:themeFill="background2" w:themeFillShade="8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Несомненно, 2013 год стал Годом плодотворного диалога между автором (исполнителем) и зрителем, между педагогом-наставником и молодым дарованием, Годом возвращения (обращения) к национальным культурным ценностям. В течение года все отчетливее прослеживаются тенденции возрождения семейного потребления культуры, усиления влияния потребностей простых зрителей на современный рынок услуг культуры. И как следствие появление новых культурных новаций и живой отклик зрителей, который подтверждается значительным увеличением до 40% посещаемости культурных проектов, востребованности творческой и просветительской деятельности учреждений культуры, интеграцией культуры в современный образовательный процесс. Особенно радует увеличение в 1,2 раза новых театральных и концертных постановок, музейных, кинопрокатных и библиотечных проектов, адресованных детям и юношеству, рост на 50% количества детских зрителей, семейных посещений публичных тематических мероприятий в сфере культуры. </w:t>
      </w:r>
    </w:p>
    <w:p w:rsidR="00A15B44" w:rsidRPr="00A15B44" w:rsidRDefault="00A15B44" w:rsidP="00A15B44">
      <w:pPr>
        <w:shd w:val="clear" w:color="auto" w:fill="948A54" w:themeFill="background2" w:themeFillShade="8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формирования идентичности и уникального образа Югры как региона, обладающего значительным культурным потенциалом, в 2013 году проведено свыше 110 мероприятий международного, всероссийского и регионального уровней.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Впервые в Югре состоялись Всероссийские научные форумы, посвященные развитию информатизации музеев: </w:t>
      </w:r>
      <w:r w:rsidRPr="00A15B44">
        <w:rPr>
          <w:rFonts w:ascii="Times New Roman" w:hAnsi="Times New Roman" w:cs="Times New Roman"/>
          <w:sz w:val="26"/>
          <w:szCs w:val="26"/>
        </w:rPr>
        <w:t>«АДИТ-2013 «Культура: старые проблемы и новые возможности. Регион. Россия. Мир» и «Виртуальный мир музея»  при поддержке Министерства культуры РФ.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Увеличилось по сравнению с прошлым годом количество проведенных образовательных программ на базе музеев с  297 до 502 программ,  число их участников с 46532  до   49685 (в среднем на музей – 1461,3 человек); </w:t>
      </w:r>
    </w:p>
    <w:p w:rsidR="00A15B44" w:rsidRPr="00A15B44" w:rsidRDefault="00A15B44" w:rsidP="00A15B4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количество зрителей на выездных концертах увеличилось в 1,12 раза. Средняя посещаемость зрителей на одном мероприятии увеличилась и составила 192 человека;</w:t>
      </w:r>
    </w:p>
    <w:p w:rsidR="00A15B44" w:rsidRPr="00A15B44" w:rsidRDefault="00A15B44" w:rsidP="00A15B44">
      <w:pPr>
        <w:pStyle w:val="a3"/>
        <w:spacing w:line="240" w:lineRule="auto"/>
        <w:ind w:firstLine="539"/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  <w:lang w:val="ru-RU"/>
        </w:rPr>
      </w:pPr>
      <w:r w:rsidRPr="00A15B44">
        <w:rPr>
          <w:rFonts w:ascii="Times New Roman" w:hAnsi="Times New Roman" w:cs="Times New Roman"/>
          <w:sz w:val="26"/>
          <w:szCs w:val="26"/>
          <w:lang w:val="ru-RU"/>
        </w:rPr>
        <w:t>проведено 1384 мероприятия направленных на укрепление межэтнических культурных связей всех народов проживающих в автономном округе. Из них 36,1% проведено для детей и подростков до 14 лет, для молодёжи 19,5%, для всех категорий населения – 44,4%.</w:t>
      </w:r>
    </w:p>
    <w:p w:rsidR="00A15B44" w:rsidRPr="00A15B44" w:rsidRDefault="00A15B44" w:rsidP="00A15B44">
      <w:pPr>
        <w:shd w:val="clear" w:color="auto" w:fill="948A54" w:themeFill="background2" w:themeFillShade="8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>Слайд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 увеличилось количество киноустановок на 16 единиц;</w:t>
      </w:r>
    </w:p>
    <w:p w:rsidR="00A15B44" w:rsidRPr="00A15B44" w:rsidRDefault="00A15B44" w:rsidP="00A15B4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         кинозалы автономного округа посетило рекордное количество кинозрителей – 2 461,4 тыс. человек, прирост составил 46,3 %, в том числе с показом российских фильмов 540 тыс. зрителей, прирост 40 % к 2012 году;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sz w:val="26"/>
          <w:szCs w:val="26"/>
        </w:rPr>
        <w:t>количество обслуженных детей, посетивших киносеансы в автономном округе составило 906 601 тыс. человек, что выше аналогичного показателя прошлого периода на 305 тыс. человек (+50 % к 2012 году).</w:t>
      </w:r>
    </w:p>
    <w:p w:rsidR="00A15B44" w:rsidRPr="00A15B44" w:rsidRDefault="00A15B44" w:rsidP="00A15B4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15B44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A15B44">
        <w:rPr>
          <w:rFonts w:ascii="Times New Roman" w:eastAsia="Calibri" w:hAnsi="Times New Roman" w:cs="Times New Roman"/>
          <w:sz w:val="26"/>
          <w:szCs w:val="26"/>
        </w:rPr>
        <w:t xml:space="preserve">клубными учреждениями проведено 61 401 мероприятие, что 13 % больше показателя 2012 года; </w:t>
      </w:r>
    </w:p>
    <w:p w:rsidR="00A15B44" w:rsidRPr="00A15B44" w:rsidRDefault="00A15B44" w:rsidP="00A15B4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A15B44">
        <w:rPr>
          <w:rFonts w:ascii="Times New Roman" w:eastAsia="Calibri" w:hAnsi="Times New Roman" w:cs="Times New Roman"/>
          <w:iCs/>
          <w:sz w:val="26"/>
          <w:szCs w:val="26"/>
        </w:rPr>
        <w:t>в проекте «Гастрольная деятельность» в 2013 году приняли участие творческие коллективы из 15 муниципальных образований, с концертными программами по 49 маршрутам.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A15B44">
        <w:rPr>
          <w:rFonts w:ascii="Times New Roman" w:eastAsia="Calibri" w:hAnsi="Times New Roman" w:cs="Times New Roman"/>
          <w:iCs/>
          <w:sz w:val="26"/>
          <w:szCs w:val="26"/>
        </w:rPr>
        <w:t>Слайд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Уважаемые коллеги!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Согласитесь это хорошие темпы развития, это замечательные результаты нашей совместной работы!! 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На протяжении четырех лет Департамент культуры проводит ежегодный независимый мониторинг деятельности органов управления культуры городских округов и муниципальных районов Югры.   При подготовке мониторинга использовалась информация из ежегодных отчетов управлений культуры городских округов и муниципальных районов автономного округа, всего проведен анализ 10 показателей. Итоги размещены в разделе Коллегия. В своем докладе я остановлюсь всего на 3 показателях: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Прошу внимание на слайды. 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b/>
          <w:bCs/>
          <w:sz w:val="26"/>
          <w:szCs w:val="26"/>
        </w:rPr>
        <w:t>Итоги мониторинга по</w:t>
      </w:r>
      <w:r w:rsidRPr="00A15B44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 Показателю:</w:t>
      </w:r>
      <w:r w:rsidRPr="00A15B44">
        <w:rPr>
          <w:rFonts w:ascii="Times New Roman" w:eastAsia="Times New Roman" w:hAnsi="Times New Roman" w:cs="Times New Roman"/>
          <w:bCs/>
          <w:sz w:val="26"/>
          <w:szCs w:val="26"/>
        </w:rPr>
        <w:t xml:space="preserve"> Доля финансирования отрасли "Культура и кинематография" из бюджета муниципального образования %: </w:t>
      </w:r>
    </w:p>
    <w:p w:rsidR="00A15B44" w:rsidRPr="00A15B44" w:rsidRDefault="00A15B44" w:rsidP="00A15B44">
      <w:pPr>
        <w:spacing w:after="0" w:line="240" w:lineRule="auto"/>
        <w:ind w:firstLine="1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Среди муниципальных районов: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 xml:space="preserve">1 место </w:t>
      </w:r>
      <w:r w:rsidRPr="00A15B44">
        <w:rPr>
          <w:rFonts w:ascii="Times New Roman" w:hAnsi="Times New Roman" w:cs="Times New Roman"/>
          <w:sz w:val="26"/>
          <w:szCs w:val="26"/>
        </w:rPr>
        <w:t xml:space="preserve">– принадлежит Нефтеюганскому району – </w:t>
      </w:r>
      <w:r w:rsidRPr="00A15B44">
        <w:rPr>
          <w:rFonts w:ascii="Times New Roman" w:hAnsi="Times New Roman" w:cs="Times New Roman"/>
          <w:b/>
          <w:sz w:val="26"/>
          <w:szCs w:val="26"/>
        </w:rPr>
        <w:t>10,6 %</w:t>
      </w:r>
      <w:r w:rsidRPr="00A15B44">
        <w:rPr>
          <w:rFonts w:ascii="Times New Roman" w:hAnsi="Times New Roman" w:cs="Times New Roman"/>
          <w:sz w:val="26"/>
          <w:szCs w:val="26"/>
        </w:rPr>
        <w:t xml:space="preserve"> в 2012 году – 6,0 %.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2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Ханты-Мансийский район - 7,0%. (2012 год –3,0 %)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3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Октябрьский район - 8,5 %. (2012 год –6,8 %)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Кондинский район отличился стабильностью показателей на протяжении четырех лет, в том числе: 2010 год – 4,0 %, 2011 год – 4,5 %, 2012 год – 4,4 % или 5 место в рейтинге.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Наименьший показатель среди муниципальных районов у Ханты-Мансийского района – 3,0%.</w:t>
      </w:r>
    </w:p>
    <w:p w:rsidR="00A15B44" w:rsidRPr="00A15B44" w:rsidRDefault="00A15B44" w:rsidP="00A15B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Среди городских округов: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 xml:space="preserve">1 место </w:t>
      </w:r>
      <w:r w:rsidRPr="00A15B44">
        <w:rPr>
          <w:rFonts w:ascii="Times New Roman" w:hAnsi="Times New Roman" w:cs="Times New Roman"/>
          <w:sz w:val="26"/>
          <w:szCs w:val="26"/>
        </w:rPr>
        <w:t>–в этом году у г. Пыть-Ях – 7% (для сравнения: 2012 г. -5%) 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 xml:space="preserve">2 место </w:t>
      </w:r>
      <w:r w:rsidRPr="00A15B44">
        <w:rPr>
          <w:rFonts w:ascii="Times New Roman" w:hAnsi="Times New Roman" w:cs="Times New Roman"/>
          <w:sz w:val="26"/>
          <w:szCs w:val="26"/>
        </w:rPr>
        <w:t>– опустившись на 1 позицию по сравнению с 2012 годом (1 место) г. Покачи – 6,4% (2012 году – 6,5 %).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3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г. Когалым – 4,3 % (2012 год – 4,21 %).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lastRenderedPageBreak/>
        <w:t>Стабильные показатели с 2011 года у городов Нижневартовск и Когалым. У следующих Муниципальных образований прослеживается повышение показателей к 2013 году: Ханты-Мансийск, Урай, Радужный, Пыть-Ях, Нягань.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Слайд     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Показатель:</w:t>
      </w:r>
      <w:r w:rsidRPr="00A15B44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A15B4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Среднемесячная заработная плата работников учреждений  культуры, руб.</w:t>
      </w:r>
    </w:p>
    <w:p w:rsidR="00A15B44" w:rsidRPr="00A15B44" w:rsidRDefault="00A15B44" w:rsidP="00A15B44">
      <w:pPr>
        <w:spacing w:after="0" w:line="240" w:lineRule="auto"/>
        <w:ind w:firstLine="1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Среди муниципальных районов: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1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Белоярский район - 33 659,1 руб. (2012 год – 24 655 руб.). В данном МО наблюдается самый большой прирост - 9004,0 руб.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2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с 4-го места (2011 г.) Ханты-Мансийский район переместился на 2-е место – 31331,4 руб. (2012 год – 24655 руб.).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3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2-й год принадлежит Сургутскому району – 28356,5 руб. (2012 год – 24264 руб.).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Абсолютно во всех муниципальных районов наблюдается положительная динамика роста среднемесячной заработной платы. </w:t>
      </w:r>
    </w:p>
    <w:p w:rsidR="00A15B44" w:rsidRPr="00A15B44" w:rsidRDefault="00A15B44" w:rsidP="00A15B44">
      <w:pPr>
        <w:spacing w:after="0" w:line="240" w:lineRule="auto"/>
        <w:ind w:firstLine="11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Среди городских округов: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1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в этом году первенство у г. Ханты-Мансийска. За год прирост средней заработной платы составил 13 848 рублей, таким образом на сегодняшнюю дату среднемесячная заработная плата в г. Ханты-Мансийске составляет 39 408 руб.(2012 год – 25 560 руб.).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2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переместился г. Сургут – 39 100 руб. (2012 год – 35 260 руб.).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3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уже 3-й год занимает г. Нижневартовск – 34 202 руб. (2012 год – 29050 руб.).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Также высоки прирост средней з.п. наблюдается в г. Нефтеюганске – 28 622 руб., хотя по сравнению с другими городскими округами он все еще занимает низкие позиции (10 место) и у г. Урай – 32 749 руб. [8 место]. Самый низкий прирост с.з.п. в г. Покачи, всего на 136,8 руб. – 25 286,6 руб. [13 место].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>В целом у всех городских округов прослеживается положительная динамика по увеличению средней заработной платы работников учреждений культуры.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ind w:firstLine="1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Слайд</w:t>
      </w:r>
    </w:p>
    <w:p w:rsidR="00A15B44" w:rsidRPr="00A15B44" w:rsidRDefault="00A15B44" w:rsidP="00A15B44">
      <w:pPr>
        <w:spacing w:after="0" w:line="240" w:lineRule="auto"/>
        <w:ind w:firstLine="1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i/>
          <w:sz w:val="26"/>
          <w:szCs w:val="26"/>
        </w:rPr>
        <w:t>Показатель:</w:t>
      </w:r>
      <w:r w:rsidRPr="00A15B44">
        <w:rPr>
          <w:rFonts w:ascii="Times New Roman" w:hAnsi="Times New Roman" w:cs="Times New Roman"/>
          <w:b/>
          <w:sz w:val="26"/>
          <w:szCs w:val="26"/>
        </w:rPr>
        <w:t xml:space="preserve"> Книгообеспеченность 1 жителя (экз.)</w:t>
      </w:r>
    </w:p>
    <w:p w:rsidR="00A15B44" w:rsidRPr="00A15B44" w:rsidRDefault="00A15B44" w:rsidP="00A15B44">
      <w:pPr>
        <w:spacing w:after="0" w:line="240" w:lineRule="auto"/>
        <w:ind w:firstLine="11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Среди муниципальных районов:</w:t>
      </w:r>
    </w:p>
    <w:p w:rsidR="00005ED6" w:rsidRDefault="00005ED6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A15B44">
        <w:rPr>
          <w:rFonts w:ascii="Times New Roman" w:hAnsi="Times New Roman" w:cs="Times New Roman"/>
          <w:b/>
          <w:sz w:val="26"/>
          <w:szCs w:val="26"/>
        </w:rPr>
        <w:t xml:space="preserve">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Ханты-Мансийский район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A15B44">
        <w:rPr>
          <w:rFonts w:ascii="Times New Roman" w:hAnsi="Times New Roman" w:cs="Times New Roman"/>
          <w:sz w:val="26"/>
          <w:szCs w:val="26"/>
        </w:rPr>
        <w:t>экз. (2012 год – 11 экз.)</w:t>
      </w:r>
    </w:p>
    <w:p w:rsidR="00A15B44" w:rsidRPr="00A15B44" w:rsidRDefault="00005ED6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A15B44" w:rsidRPr="00A15B44">
        <w:rPr>
          <w:rFonts w:ascii="Times New Roman" w:hAnsi="Times New Roman" w:cs="Times New Roman"/>
          <w:b/>
          <w:sz w:val="26"/>
          <w:szCs w:val="26"/>
        </w:rPr>
        <w:t xml:space="preserve"> место</w:t>
      </w:r>
      <w:r w:rsidR="00A15B44" w:rsidRPr="00A15B44">
        <w:rPr>
          <w:rFonts w:ascii="Times New Roman" w:hAnsi="Times New Roman" w:cs="Times New Roman"/>
          <w:sz w:val="26"/>
          <w:szCs w:val="26"/>
        </w:rPr>
        <w:t xml:space="preserve"> – Кондинский</w:t>
      </w:r>
      <w:r>
        <w:rPr>
          <w:rFonts w:ascii="Times New Roman" w:hAnsi="Times New Roman" w:cs="Times New Roman"/>
          <w:sz w:val="26"/>
          <w:szCs w:val="26"/>
        </w:rPr>
        <w:t xml:space="preserve">  район</w:t>
      </w:r>
      <w:r w:rsidR="00A15B44" w:rsidRPr="00A15B44">
        <w:rPr>
          <w:rFonts w:ascii="Times New Roman" w:hAnsi="Times New Roman" w:cs="Times New Roman"/>
          <w:sz w:val="26"/>
          <w:szCs w:val="26"/>
        </w:rPr>
        <w:t>– 7,34 экз. (2012 год – 7,53 экз.).</w:t>
      </w:r>
    </w:p>
    <w:p w:rsidR="00A15B44" w:rsidRPr="00A15B44" w:rsidRDefault="00005ED6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A15B44" w:rsidRPr="00A15B44">
        <w:rPr>
          <w:rFonts w:ascii="Times New Roman" w:hAnsi="Times New Roman" w:cs="Times New Roman"/>
          <w:b/>
          <w:sz w:val="26"/>
          <w:szCs w:val="26"/>
        </w:rPr>
        <w:t xml:space="preserve"> место</w:t>
      </w:r>
      <w:r w:rsidR="00A15B44" w:rsidRPr="00A15B44">
        <w:rPr>
          <w:rFonts w:ascii="Times New Roman" w:hAnsi="Times New Roman" w:cs="Times New Roman"/>
          <w:sz w:val="26"/>
          <w:szCs w:val="26"/>
        </w:rPr>
        <w:t xml:space="preserve"> – Октябрьский район  – 7,1 экз. (2012 год – 6,9 экз.).</w:t>
      </w:r>
    </w:p>
    <w:p w:rsidR="00A15B44" w:rsidRPr="00A15B44" w:rsidRDefault="00A15B44" w:rsidP="00A15B44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</w:p>
    <w:p w:rsidR="00A15B44" w:rsidRPr="00A15B44" w:rsidRDefault="00A15B44" w:rsidP="00A15B44">
      <w:pPr>
        <w:spacing w:after="0" w:line="240" w:lineRule="auto"/>
        <w:ind w:firstLine="1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Среди городских округов: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1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в течение 3 лет по рейтингу принадлежит городу Югорску – 4,17 экз. (2012 год – 4,14 экз.).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2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город Урай (2010 год – 3,3 экз., 2011 год – 3,47 экз., 2012 год – 3,45 экз.).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3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город Лангепас – 3,01 (2012 год – 2,69 экз.).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sz w:val="26"/>
          <w:szCs w:val="26"/>
        </w:rPr>
        <w:t xml:space="preserve">Положительная динамика наблюдается у города Лангепас, переместившегося с 10-го места (в 2011 году) на 3-е. При сравнении с 2011 г. неизменные места занимают: Пять-Ях (4 место), Сургут (12 место) и самый низкий показатель – Ханты-Мансийск. </w:t>
      </w:r>
    </w:p>
    <w:p w:rsidR="00A15B44" w:rsidRPr="00A15B44" w:rsidRDefault="00A15B44" w:rsidP="00A15B44">
      <w:pPr>
        <w:shd w:val="clear" w:color="auto" w:fill="D99594" w:themeFill="accent2" w:themeFillTint="99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Общий итог: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Среди муниципальных районов:1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Белоярский район;  </w:t>
      </w:r>
      <w:r w:rsidRPr="00A15B44">
        <w:rPr>
          <w:rFonts w:ascii="Times New Roman" w:hAnsi="Times New Roman" w:cs="Times New Roman"/>
          <w:b/>
          <w:sz w:val="26"/>
          <w:szCs w:val="26"/>
        </w:rPr>
        <w:t>2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Нижневартовский район.  </w:t>
      </w:r>
      <w:r w:rsidRPr="00A15B44">
        <w:rPr>
          <w:rFonts w:ascii="Times New Roman" w:hAnsi="Times New Roman" w:cs="Times New Roman"/>
          <w:b/>
          <w:sz w:val="26"/>
          <w:szCs w:val="26"/>
        </w:rPr>
        <w:t>3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</w:t>
      </w:r>
      <w:r w:rsidR="006F4B56">
        <w:rPr>
          <w:rFonts w:ascii="Times New Roman" w:hAnsi="Times New Roman" w:cs="Times New Roman"/>
          <w:sz w:val="26"/>
          <w:szCs w:val="26"/>
        </w:rPr>
        <w:t>Ханты-Мансийский район</w:t>
      </w:r>
      <w:r w:rsidRPr="00A15B44">
        <w:rPr>
          <w:rFonts w:ascii="Times New Roman" w:hAnsi="Times New Roman" w:cs="Times New Roman"/>
          <w:sz w:val="26"/>
          <w:szCs w:val="26"/>
        </w:rPr>
        <w:t>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lastRenderedPageBreak/>
        <w:t>Среди городских округов:  1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город Когалым; </w:t>
      </w:r>
      <w:r w:rsidRPr="00A15B44">
        <w:rPr>
          <w:rFonts w:ascii="Times New Roman" w:hAnsi="Times New Roman" w:cs="Times New Roman"/>
          <w:b/>
          <w:sz w:val="26"/>
          <w:szCs w:val="26"/>
        </w:rPr>
        <w:t>2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город Урай. </w:t>
      </w:r>
    </w:p>
    <w:p w:rsidR="00A15B44" w:rsidRPr="00A15B44" w:rsidRDefault="00A15B44" w:rsidP="00A15B44">
      <w:pPr>
        <w:spacing w:after="0" w:line="240" w:lineRule="auto"/>
        <w:ind w:firstLine="1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5B44">
        <w:rPr>
          <w:rFonts w:ascii="Times New Roman" w:hAnsi="Times New Roman" w:cs="Times New Roman"/>
          <w:b/>
          <w:sz w:val="26"/>
          <w:szCs w:val="26"/>
        </w:rPr>
        <w:t>3 место</w:t>
      </w:r>
      <w:r w:rsidRPr="00A15B44">
        <w:rPr>
          <w:rFonts w:ascii="Times New Roman" w:hAnsi="Times New Roman" w:cs="Times New Roman"/>
          <w:sz w:val="26"/>
          <w:szCs w:val="26"/>
        </w:rPr>
        <w:t xml:space="preserve"> – город Нягань. </w:t>
      </w:r>
    </w:p>
    <w:p w:rsidR="00A15B44" w:rsidRPr="00A15B44" w:rsidRDefault="00A15B44" w:rsidP="00A15B44">
      <w:pPr>
        <w:widowControl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Масштабность задач, решаемых сегодня в культуре, диктует новые черты кадровой политики, в которой принцип подбора кадров по профессиональному критерию становится определяющим. Эффективное управление трудовыми ресурсами отрасли и непосредственно персоналом отдельного учреждения культуры связано со стратегиями, инновациями, разработкой перспективных идей. </w:t>
      </w:r>
    </w:p>
    <w:p w:rsidR="00A15B44" w:rsidRPr="00A15B44" w:rsidRDefault="00A15B44" w:rsidP="00A15B44">
      <w:pPr>
        <w:widowControl w:val="0"/>
        <w:shd w:val="clear" w:color="auto" w:fill="D99594" w:themeFill="accent2" w:themeFillTint="99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Слайд </w:t>
      </w:r>
    </w:p>
    <w:p w:rsidR="00A15B44" w:rsidRPr="00A15B44" w:rsidRDefault="00A15B44" w:rsidP="00A15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отрасли занято свыше 14 тысяч человек, в том числе штатная численность работников муниципальных и государственных </w:t>
      </w: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учреждений культуры</w:t>
      </w: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автономного округа  свыше 9 тысяч человек, в организациях образования в сфере культуры работает  4 тысячи  930 штатных единиц.</w:t>
      </w:r>
    </w:p>
    <w:p w:rsidR="00A15B44" w:rsidRPr="00A15B44" w:rsidRDefault="00A15B44" w:rsidP="00A15B44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ab/>
        <w:t>В 2013 году награждены:</w:t>
      </w:r>
    </w:p>
    <w:p w:rsidR="00A15B44" w:rsidRPr="00A15B44" w:rsidRDefault="00A15B44" w:rsidP="00A15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государственными наградами Российской Федерации, в том числе удостоены орденов и медалей – 2 человека,  </w:t>
      </w:r>
    </w:p>
    <w:p w:rsidR="00A15B44" w:rsidRPr="00A15B44" w:rsidRDefault="00A15B44" w:rsidP="00A15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 xml:space="preserve">32 работникам отрасли присвоено почётное звание «Заслуженный деятель культуры Ханты-Мансийского автономного округа – Югры»; </w:t>
      </w:r>
    </w:p>
    <w:p w:rsidR="00A15B44" w:rsidRPr="00A15B44" w:rsidRDefault="00A15B44" w:rsidP="00A15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>Благодарственным письмом и Почётной грамотой Губернатора автономного округа награждены 15 человек; Почётной грамотой и Благодарственным письмом Думы автономного округа– 5 человек; Благодарственным письмом Заместителя Губернатора автономного округа – 5 человек.</w:t>
      </w:r>
    </w:p>
    <w:p w:rsidR="00A15B44" w:rsidRPr="00A15B44" w:rsidRDefault="00A15B44" w:rsidP="00A15B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5B44">
        <w:rPr>
          <w:rFonts w:ascii="Times New Roman" w:eastAsia="Times New Roman" w:hAnsi="Times New Roman" w:cs="Times New Roman"/>
          <w:sz w:val="26"/>
          <w:szCs w:val="26"/>
        </w:rPr>
        <w:t>Почётной грамотой и Благодарственным письмом Департамента культуры Ханты-Мансийского автономного округа – Югры награждено 188 сотрудников государственных и муниципальных учреждений культуры.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Уважаемые коллеги!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Итоги 2013 года  можно считать успешными, а ряд достигнутых результатов – беспрецедентными.</w:t>
      </w:r>
    </w:p>
    <w:p w:rsidR="00A15B44" w:rsidRPr="00A15B44" w:rsidRDefault="00A15B44" w:rsidP="00A15B44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 уверена, что все успехи и грядущие проекты были бы невозможны без всех Вас, находящихся в этой аудитории, без ваших идей, творческих коллективов, без тех, кто работает в сфере  культуры. </w:t>
      </w:r>
    </w:p>
    <w:p w:rsidR="00A15B44" w:rsidRPr="00A15B44" w:rsidRDefault="00A15B44" w:rsidP="00A15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заключение своего выступления, хочу сказать, в своей работе Мы неизменно руководствуемся главным принципом – слышать людей, работать для людей, и от этой принципиальной линии, безусловно, отступать не намерены.  </w:t>
      </w:r>
    </w:p>
    <w:p w:rsidR="00A15B44" w:rsidRDefault="00A15B44" w:rsidP="00A15B4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15B44" w:rsidRDefault="00A15B44" w:rsidP="00A15B4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Позвольте выразить вам искреннюю признательность за работу, за ваше понимание  и терпение.      </w:t>
      </w:r>
    </w:p>
    <w:p w:rsidR="00A15B44" w:rsidRPr="00A15B44" w:rsidRDefault="00A15B44" w:rsidP="00A15B4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15B4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Главное – мы работаем в одной команде!    </w:t>
      </w:r>
    </w:p>
    <w:p w:rsidR="008B01DA" w:rsidRPr="00A15B44" w:rsidRDefault="008B01DA">
      <w:pPr>
        <w:rPr>
          <w:rFonts w:ascii="Times New Roman" w:hAnsi="Times New Roman" w:cs="Times New Roman"/>
          <w:sz w:val="26"/>
          <w:szCs w:val="26"/>
        </w:rPr>
      </w:pPr>
    </w:p>
    <w:sectPr w:rsidR="008B01DA" w:rsidRPr="00A15B44" w:rsidSect="00A15B44">
      <w:footerReference w:type="default" r:id="rId6"/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071" w:rsidRDefault="00D33071" w:rsidP="00A15B44">
      <w:pPr>
        <w:spacing w:after="0" w:line="240" w:lineRule="auto"/>
      </w:pPr>
      <w:r>
        <w:separator/>
      </w:r>
    </w:p>
  </w:endnote>
  <w:endnote w:type="continuationSeparator" w:id="1">
    <w:p w:rsidR="00D33071" w:rsidRDefault="00D33071" w:rsidP="00A15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23024026"/>
      <w:docPartObj>
        <w:docPartGallery w:val="Page Numbers (Bottom of Page)"/>
        <w:docPartUnique/>
      </w:docPartObj>
    </w:sdtPr>
    <w:sdtContent>
      <w:p w:rsidR="00A15B44" w:rsidRDefault="00966667">
        <w:pPr>
          <w:pStyle w:val="a6"/>
        </w:pPr>
        <w:r>
          <w:rPr>
            <w:noProof/>
          </w:rPr>
          <w:pict>
            <v:group id="Группа 32" o:spid="_x0000_s2049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3" type="#_x0000_t202" style="position:absolute;left:782;top:14990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<v:textbox inset="0,0,0,0">
                  <w:txbxContent>
                    <w:p w:rsidR="00A15B44" w:rsidRDefault="00966667">
                      <w:pPr>
                        <w:jc w:val="center"/>
                      </w:pPr>
                      <w:r w:rsidRPr="00966667">
                        <w:fldChar w:fldCharType="begin"/>
                      </w:r>
                      <w:r w:rsidR="00A15B44">
                        <w:instrText>PAGE    \* MERGEFORMAT</w:instrText>
                      </w:r>
                      <w:r w:rsidRPr="00966667">
                        <w:fldChar w:fldCharType="separate"/>
                      </w:r>
                      <w:r w:rsidR="00005ED6" w:rsidRPr="00005ED6">
                        <w:rPr>
                          <w:noProof/>
                          <w:color w:val="8C8C8C" w:themeColor="background1" w:themeShade="8C"/>
                        </w:rPr>
                        <w:t>11</w:t>
                      </w:r>
                      <w:r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0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2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<v:shape id="AutoShape 28" o:spid="_x0000_s2051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071" w:rsidRDefault="00D33071" w:rsidP="00A15B44">
      <w:pPr>
        <w:spacing w:after="0" w:line="240" w:lineRule="auto"/>
      </w:pPr>
      <w:r>
        <w:separator/>
      </w:r>
    </w:p>
  </w:footnote>
  <w:footnote w:type="continuationSeparator" w:id="1">
    <w:p w:rsidR="00D33071" w:rsidRDefault="00D33071" w:rsidP="00A15B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hdrShapeDefaults>
    <o:shapedefaults v:ext="edit" spidmax="5122"/>
    <o:shapelayout v:ext="edit">
      <o:idmap v:ext="edit" data="2"/>
      <o:rules v:ext="edit">
        <o:r id="V:Rule3" type="connector" idref="#AutoShape 27"/>
        <o:r id="V:Rule4" type="connector" idref="#AutoShape 28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A15B44"/>
    <w:rsid w:val="00005ED6"/>
    <w:rsid w:val="000E233F"/>
    <w:rsid w:val="004E3994"/>
    <w:rsid w:val="006F4B56"/>
    <w:rsid w:val="008B01DA"/>
    <w:rsid w:val="00966667"/>
    <w:rsid w:val="00A15B44"/>
    <w:rsid w:val="00AA0BBC"/>
    <w:rsid w:val="00B21CD2"/>
    <w:rsid w:val="00D33071"/>
    <w:rsid w:val="00D66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15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"/>
    <w:basedOn w:val="a"/>
    <w:rsid w:val="00A15B44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A15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5B44"/>
  </w:style>
  <w:style w:type="paragraph" w:styleId="a6">
    <w:name w:val="footer"/>
    <w:basedOn w:val="a"/>
    <w:link w:val="a7"/>
    <w:uiPriority w:val="99"/>
    <w:unhideWhenUsed/>
    <w:rsid w:val="00A15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5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15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"/>
    <w:basedOn w:val="a"/>
    <w:rsid w:val="00A15B44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A15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5B44"/>
  </w:style>
  <w:style w:type="paragraph" w:styleId="a6">
    <w:name w:val="footer"/>
    <w:basedOn w:val="a"/>
    <w:link w:val="a7"/>
    <w:uiPriority w:val="99"/>
    <w:unhideWhenUsed/>
    <w:rsid w:val="00A15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5B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4238</Words>
  <Characters>29417</Characters>
  <Application>Microsoft Office Word</Application>
  <DocSecurity>0</DocSecurity>
  <Lines>1176</Lines>
  <Paragraphs>426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Кибкало Ирина Александровна</dc:creator>
  <cp:lastModifiedBy>LucenkoDA</cp:lastModifiedBy>
  <cp:revision>3</cp:revision>
  <dcterms:created xsi:type="dcterms:W3CDTF">2014-04-02T08:16:00Z</dcterms:created>
  <dcterms:modified xsi:type="dcterms:W3CDTF">2014-04-02T08:42:00Z</dcterms:modified>
</cp:coreProperties>
</file>